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36854" w14:textId="77777777" w:rsidR="00E61DD5" w:rsidRDefault="00E61DD5" w:rsidP="00E61DD5">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noProof/>
          <w:color w:val="000080"/>
          <w:sz w:val="24"/>
          <w:szCs w:val="24"/>
          <w:lang w:eastAsia="en-GB"/>
        </w:rPr>
        <w:drawing>
          <wp:inline distT="0" distB="0" distL="0" distR="0" wp14:anchorId="08B90D38" wp14:editId="3E3CD983">
            <wp:extent cx="1351915" cy="11131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915" cy="1113155"/>
                    </a:xfrm>
                    <a:prstGeom prst="rect">
                      <a:avLst/>
                    </a:prstGeom>
                    <a:noFill/>
                    <a:ln>
                      <a:noFill/>
                    </a:ln>
                  </pic:spPr>
                </pic:pic>
              </a:graphicData>
            </a:graphic>
          </wp:inline>
        </w:drawing>
      </w:r>
    </w:p>
    <w:p w14:paraId="2B362433" w14:textId="77777777" w:rsidR="00E61DD5" w:rsidRDefault="00E61DD5" w:rsidP="00E61DD5">
      <w:pPr>
        <w:spacing w:after="0" w:line="240" w:lineRule="auto"/>
        <w:jc w:val="center"/>
        <w:rPr>
          <w:rFonts w:ascii="Times New Roman" w:hAnsi="Times New Roman" w:cs="Times New Roman"/>
          <w:sz w:val="24"/>
          <w:szCs w:val="24"/>
        </w:rPr>
      </w:pPr>
    </w:p>
    <w:p w14:paraId="57178F85" w14:textId="77777777" w:rsidR="00E61DD5" w:rsidRDefault="00E61DD5" w:rsidP="00E61DD5">
      <w:pPr>
        <w:spacing w:after="0" w:line="240" w:lineRule="auto"/>
        <w:jc w:val="center"/>
        <w:rPr>
          <w:rFonts w:ascii="Times New Roman" w:hAnsi="Times New Roman" w:cs="Times New Roman"/>
          <w:sz w:val="24"/>
          <w:szCs w:val="24"/>
        </w:rPr>
      </w:pPr>
    </w:p>
    <w:p w14:paraId="3DE9B6BC" w14:textId="77777777" w:rsidR="00E61DD5" w:rsidRPr="00B72268" w:rsidRDefault="00E61DD5" w:rsidP="00E61DD5">
      <w:pPr>
        <w:spacing w:after="0" w:line="240" w:lineRule="auto"/>
        <w:jc w:val="center"/>
        <w:rPr>
          <w:rFonts w:ascii="Palatino Linotype" w:hAnsi="Palatino Linotype" w:cs="Times New Roman"/>
          <w:b/>
          <w:szCs w:val="24"/>
        </w:rPr>
      </w:pPr>
      <w:r w:rsidRPr="00B72268">
        <w:rPr>
          <w:rFonts w:ascii="Palatino Linotype" w:hAnsi="Palatino Linotype" w:cs="Times New Roman"/>
          <w:b/>
          <w:szCs w:val="24"/>
        </w:rPr>
        <w:t>SHERIFFDOM OF LOTHIAN AND BORDERS</w:t>
      </w:r>
    </w:p>
    <w:p w14:paraId="4A1426D5" w14:textId="77777777" w:rsidR="00E61DD5" w:rsidRPr="00B72268" w:rsidRDefault="00E61DD5" w:rsidP="00E61DD5">
      <w:pPr>
        <w:spacing w:after="0" w:line="240" w:lineRule="auto"/>
        <w:jc w:val="center"/>
        <w:rPr>
          <w:rFonts w:ascii="Palatino Linotype" w:hAnsi="Palatino Linotype" w:cs="Times New Roman"/>
          <w:b/>
          <w:szCs w:val="24"/>
        </w:rPr>
      </w:pPr>
    </w:p>
    <w:p w14:paraId="02229FBC" w14:textId="77777777" w:rsidR="00E61DD5" w:rsidRPr="00B72268" w:rsidRDefault="00E61DD5" w:rsidP="00E61DD5">
      <w:pPr>
        <w:spacing w:after="0" w:line="240" w:lineRule="auto"/>
        <w:jc w:val="center"/>
        <w:rPr>
          <w:rFonts w:ascii="Palatino Linotype" w:hAnsi="Palatino Linotype" w:cs="Times New Roman"/>
          <w:b/>
          <w:szCs w:val="24"/>
        </w:rPr>
      </w:pPr>
      <w:r w:rsidRPr="00B72268">
        <w:rPr>
          <w:rFonts w:ascii="Palatino Linotype" w:hAnsi="Palatino Linotype" w:cs="Times New Roman"/>
          <w:b/>
          <w:szCs w:val="24"/>
        </w:rPr>
        <w:t>COVID-19</w:t>
      </w:r>
    </w:p>
    <w:p w14:paraId="0556A76C" w14:textId="77777777" w:rsidR="00E61DD5" w:rsidRPr="00B72268" w:rsidRDefault="00E61DD5" w:rsidP="00E61DD5">
      <w:pPr>
        <w:spacing w:after="0" w:line="240" w:lineRule="auto"/>
        <w:jc w:val="center"/>
        <w:rPr>
          <w:rFonts w:ascii="Palatino Linotype" w:hAnsi="Palatino Linotype" w:cs="Times New Roman"/>
          <w:b/>
          <w:szCs w:val="24"/>
        </w:rPr>
      </w:pPr>
    </w:p>
    <w:p w14:paraId="68618F95" w14:textId="77777777" w:rsidR="00E61DD5" w:rsidRPr="00B72268" w:rsidRDefault="00E61DD5" w:rsidP="00E61DD5">
      <w:pPr>
        <w:spacing w:after="0" w:line="240" w:lineRule="auto"/>
        <w:jc w:val="center"/>
        <w:rPr>
          <w:rFonts w:ascii="Palatino Linotype" w:hAnsi="Palatino Linotype" w:cs="Times New Roman"/>
          <w:szCs w:val="24"/>
        </w:rPr>
      </w:pPr>
      <w:r w:rsidRPr="00B72268">
        <w:rPr>
          <w:rFonts w:ascii="Palatino Linotype" w:hAnsi="Palatino Linotype" w:cs="Times New Roman"/>
          <w:b/>
          <w:szCs w:val="24"/>
        </w:rPr>
        <w:t xml:space="preserve">FURTHER GUIDANCE IN RESPECT OF FORTHCOMING PROOF DIETS IN THE ALL SCOTLAND SHERIFF PERSONAL INJURY COURT </w:t>
      </w:r>
    </w:p>
    <w:p w14:paraId="01CE448E" w14:textId="77777777" w:rsidR="00E61DD5" w:rsidRPr="00B72268" w:rsidRDefault="00E61DD5" w:rsidP="00E61DD5">
      <w:pPr>
        <w:spacing w:after="0" w:line="240" w:lineRule="auto"/>
        <w:jc w:val="center"/>
        <w:rPr>
          <w:rFonts w:ascii="Palatino Linotype" w:hAnsi="Palatino Linotype" w:cs="Times New Roman"/>
          <w:szCs w:val="24"/>
        </w:rPr>
      </w:pPr>
    </w:p>
    <w:p w14:paraId="6128A252" w14:textId="77777777" w:rsidR="00E61DD5" w:rsidRPr="00B72268" w:rsidRDefault="00E61DD5" w:rsidP="00E61DD5">
      <w:pPr>
        <w:spacing w:after="0" w:line="240" w:lineRule="auto"/>
        <w:jc w:val="center"/>
        <w:rPr>
          <w:rFonts w:ascii="Palatino Linotype" w:hAnsi="Palatino Linotype" w:cs="Times New Roman"/>
          <w:szCs w:val="24"/>
        </w:rPr>
      </w:pPr>
    </w:p>
    <w:p w14:paraId="6EE82078" w14:textId="77777777" w:rsidR="00E61DD5" w:rsidRPr="00B72268" w:rsidRDefault="00E61DD5" w:rsidP="00E61DD5">
      <w:pPr>
        <w:spacing w:after="120" w:line="360" w:lineRule="auto"/>
        <w:jc w:val="both"/>
        <w:rPr>
          <w:rFonts w:ascii="Palatino Linotype" w:hAnsi="Palatino Linotype" w:cs="Times New Roman"/>
          <w:b/>
          <w:szCs w:val="24"/>
        </w:rPr>
      </w:pPr>
      <w:r w:rsidRPr="00B72268">
        <w:rPr>
          <w:rFonts w:ascii="Palatino Linotype" w:hAnsi="Palatino Linotype" w:cs="Times New Roman"/>
          <w:b/>
          <w:szCs w:val="24"/>
        </w:rPr>
        <w:t>Introduction</w:t>
      </w:r>
    </w:p>
    <w:p w14:paraId="5A329606" w14:textId="77777777" w:rsidR="00E61DD5" w:rsidRPr="00355DE1" w:rsidRDefault="00E61DD5" w:rsidP="00E61DD5">
      <w:pPr>
        <w:numPr>
          <w:ilvl w:val="0"/>
          <w:numId w:val="1"/>
        </w:numPr>
        <w:spacing w:before="100" w:beforeAutospacing="1" w:after="240" w:line="360" w:lineRule="auto"/>
        <w:ind w:left="0" w:firstLine="0"/>
        <w:jc w:val="both"/>
        <w:rPr>
          <w:rFonts w:ascii="Palatino Linotype" w:eastAsia="Times New Roman" w:hAnsi="Palatino Linotype" w:cs="Arial"/>
          <w:color w:val="000000"/>
          <w:lang w:eastAsia="en-GB"/>
        </w:rPr>
      </w:pPr>
      <w:r w:rsidRPr="00B72268">
        <w:rPr>
          <w:rFonts w:ascii="Palatino Linotype" w:hAnsi="Palatino Linotype"/>
        </w:rPr>
        <w:t>Further to the guidance dated 19 and 26 June 2020, this document contains more information for practitioners in relation to forthcoming proof diets in the All Scotland Sheriff Personal Injury Court (ASSPIC).</w:t>
      </w:r>
    </w:p>
    <w:p w14:paraId="61B25CE3" w14:textId="6112C6DD" w:rsidR="00F534D9" w:rsidRPr="00F534D9" w:rsidRDefault="00F534D9" w:rsidP="00355DE1">
      <w:pPr>
        <w:pStyle w:val="ListParagraph"/>
        <w:numPr>
          <w:ilvl w:val="0"/>
          <w:numId w:val="1"/>
        </w:numPr>
        <w:spacing w:after="240" w:line="360" w:lineRule="auto"/>
        <w:ind w:left="0" w:firstLine="0"/>
        <w:rPr>
          <w:rFonts w:ascii="Palatino Linotype" w:eastAsia="Times New Roman" w:hAnsi="Palatino Linotype" w:cs="Arial"/>
          <w:color w:val="000000"/>
          <w:lang w:eastAsia="en-GB"/>
        </w:rPr>
      </w:pPr>
      <w:r w:rsidRPr="00F534D9">
        <w:rPr>
          <w:rFonts w:ascii="Palatino Linotype" w:eastAsia="Times New Roman" w:hAnsi="Palatino Linotype" w:cs="Arial"/>
          <w:color w:val="000000"/>
          <w:lang w:eastAsia="en-GB"/>
        </w:rPr>
        <w:t xml:space="preserve">Part 1 2 of Schedule 4 of the </w:t>
      </w:r>
      <w:r>
        <w:rPr>
          <w:rFonts w:ascii="Palatino Linotype" w:eastAsia="Times New Roman" w:hAnsi="Palatino Linotype" w:cs="Arial"/>
          <w:color w:val="000000"/>
          <w:lang w:eastAsia="en-GB"/>
        </w:rPr>
        <w:t xml:space="preserve">Coronavirus </w:t>
      </w:r>
      <w:r w:rsidR="000214B2">
        <w:rPr>
          <w:rFonts w:ascii="Palatino Linotype" w:eastAsia="Times New Roman" w:hAnsi="Palatino Linotype" w:cs="Arial"/>
          <w:color w:val="000000"/>
          <w:lang w:eastAsia="en-GB"/>
        </w:rPr>
        <w:t>(Scotland)</w:t>
      </w:r>
      <w:r>
        <w:rPr>
          <w:rFonts w:ascii="Palatino Linotype" w:eastAsia="Times New Roman" w:hAnsi="Palatino Linotype" w:cs="Arial"/>
          <w:color w:val="000000"/>
          <w:lang w:eastAsia="en-GB"/>
        </w:rPr>
        <w:t xml:space="preserve"> </w:t>
      </w:r>
      <w:r w:rsidRPr="00F534D9">
        <w:rPr>
          <w:rFonts w:ascii="Palatino Linotype" w:eastAsia="Times New Roman" w:hAnsi="Palatino Linotype" w:cs="Arial"/>
          <w:color w:val="000000"/>
          <w:lang w:eastAsia="en-GB"/>
        </w:rPr>
        <w:t xml:space="preserve">Act </w:t>
      </w:r>
      <w:r>
        <w:rPr>
          <w:rFonts w:ascii="Palatino Linotype" w:eastAsia="Times New Roman" w:hAnsi="Palatino Linotype" w:cs="Arial"/>
          <w:color w:val="000000"/>
          <w:lang w:eastAsia="en-GB"/>
        </w:rPr>
        <w:t xml:space="preserve">2020 </w:t>
      </w:r>
      <w:r w:rsidRPr="00F534D9">
        <w:rPr>
          <w:rFonts w:ascii="Palatino Linotype" w:eastAsia="Times New Roman" w:hAnsi="Palatino Linotype" w:cs="Arial"/>
          <w:color w:val="000000"/>
          <w:lang w:eastAsia="en-GB"/>
        </w:rPr>
        <w:t xml:space="preserve">suspends the requirement for physical attendance at court unless the court directs otherwise.  Under these provisions all </w:t>
      </w:r>
      <w:r>
        <w:rPr>
          <w:rFonts w:ascii="Palatino Linotype" w:eastAsia="Times New Roman" w:hAnsi="Palatino Linotype" w:cs="Arial"/>
          <w:color w:val="000000"/>
          <w:lang w:eastAsia="en-GB"/>
        </w:rPr>
        <w:t>hearings in ASSPIC</w:t>
      </w:r>
      <w:r w:rsidRPr="00F534D9">
        <w:rPr>
          <w:rFonts w:ascii="Palatino Linotype" w:eastAsia="Times New Roman" w:hAnsi="Palatino Linotype" w:cs="Arial"/>
          <w:color w:val="000000"/>
          <w:lang w:eastAsia="en-GB"/>
        </w:rPr>
        <w:t xml:space="preserve"> will be conducted remotely until further notice unless the court directs otherwise.</w:t>
      </w:r>
    </w:p>
    <w:p w14:paraId="7A9E5AC0" w14:textId="77777777" w:rsidR="00E61DD5" w:rsidRPr="00B72268" w:rsidRDefault="00434043" w:rsidP="00E61DD5">
      <w:pPr>
        <w:spacing w:before="100" w:beforeAutospacing="1" w:after="240" w:line="360" w:lineRule="auto"/>
        <w:jc w:val="both"/>
        <w:rPr>
          <w:rFonts w:ascii="Palatino Linotype" w:eastAsia="Times New Roman" w:hAnsi="Palatino Linotype" w:cs="Arial"/>
          <w:color w:val="000000"/>
          <w:lang w:eastAsia="en-GB"/>
        </w:rPr>
      </w:pPr>
      <w:r w:rsidRPr="00B72268">
        <w:rPr>
          <w:rFonts w:ascii="Palatino Linotype" w:hAnsi="Palatino Linotype"/>
          <w:b/>
        </w:rPr>
        <w:t>Presumed m</w:t>
      </w:r>
      <w:r w:rsidR="00E61DD5" w:rsidRPr="00B72268">
        <w:rPr>
          <w:rFonts w:ascii="Palatino Linotype" w:hAnsi="Palatino Linotype"/>
          <w:b/>
        </w:rPr>
        <w:t>ode of hearing</w:t>
      </w:r>
    </w:p>
    <w:p w14:paraId="280C6D3D" w14:textId="66384F04" w:rsidR="00E61DD5" w:rsidRPr="00355DE1" w:rsidRDefault="00F22D74" w:rsidP="00EB4C9D">
      <w:pPr>
        <w:numPr>
          <w:ilvl w:val="0"/>
          <w:numId w:val="1"/>
        </w:numPr>
        <w:spacing w:before="100" w:beforeAutospacing="1" w:after="240" w:line="360" w:lineRule="auto"/>
        <w:ind w:left="0" w:firstLine="0"/>
        <w:jc w:val="both"/>
        <w:rPr>
          <w:rFonts w:ascii="Palatino Linotype" w:eastAsia="Times New Roman" w:hAnsi="Palatino Linotype" w:cs="Arial"/>
          <w:color w:val="000000"/>
          <w:lang w:eastAsia="en-GB"/>
        </w:rPr>
      </w:pPr>
      <w:r>
        <w:rPr>
          <w:rFonts w:ascii="Palatino Linotype" w:hAnsi="Palatino Linotype" w:cs="Times New Roman"/>
          <w:szCs w:val="24"/>
        </w:rPr>
        <w:t>T</w:t>
      </w:r>
      <w:r w:rsidR="00F534D9" w:rsidRPr="00F534D9">
        <w:rPr>
          <w:rFonts w:ascii="Palatino Linotype" w:hAnsi="Palatino Linotype" w:cs="Times New Roman"/>
          <w:szCs w:val="24"/>
        </w:rPr>
        <w:t xml:space="preserve">he default position is that proofs </w:t>
      </w:r>
      <w:r w:rsidR="003E0579">
        <w:rPr>
          <w:rFonts w:ascii="Palatino Linotype" w:hAnsi="Palatino Linotype" w:cs="Times New Roman"/>
          <w:szCs w:val="24"/>
        </w:rPr>
        <w:t xml:space="preserve">in ASSPIC </w:t>
      </w:r>
      <w:r w:rsidR="00F534D9" w:rsidRPr="00F534D9">
        <w:rPr>
          <w:rFonts w:ascii="Palatino Linotype" w:hAnsi="Palatino Linotype" w:cs="Times New Roman"/>
          <w:szCs w:val="24"/>
        </w:rPr>
        <w:t xml:space="preserve">will proceed on a remote basis using Webex technology unless the court </w:t>
      </w:r>
      <w:r w:rsidR="00F534D9">
        <w:rPr>
          <w:rFonts w:ascii="Palatino Linotype" w:hAnsi="Palatino Linotype" w:cs="Times New Roman"/>
          <w:szCs w:val="24"/>
        </w:rPr>
        <w:t xml:space="preserve">otherwise directs. </w:t>
      </w:r>
      <w:r w:rsidR="00F534D9" w:rsidRPr="00F534D9">
        <w:rPr>
          <w:rFonts w:ascii="Palatino Linotype" w:hAnsi="Palatino Linotype" w:cs="Times New Roman"/>
          <w:szCs w:val="24"/>
        </w:rPr>
        <w:t xml:space="preserve"> </w:t>
      </w:r>
      <w:r w:rsidR="00355DE1">
        <w:rPr>
          <w:rFonts w:ascii="Palatino Linotype" w:hAnsi="Palatino Linotype" w:cs="Times New Roman"/>
          <w:szCs w:val="24"/>
        </w:rPr>
        <w:t>Proofs may</w:t>
      </w:r>
      <w:r w:rsidR="00F534D9">
        <w:rPr>
          <w:rFonts w:ascii="Palatino Linotype" w:hAnsi="Palatino Linotype" w:cs="Times New Roman"/>
          <w:szCs w:val="24"/>
        </w:rPr>
        <w:t xml:space="preserve"> proceed </w:t>
      </w:r>
      <w:r w:rsidR="003E0579">
        <w:rPr>
          <w:rFonts w:ascii="Palatino Linotype" w:hAnsi="Palatino Linotype" w:cs="Times New Roman"/>
          <w:szCs w:val="24"/>
        </w:rPr>
        <w:t xml:space="preserve">as live </w:t>
      </w:r>
      <w:r>
        <w:rPr>
          <w:rFonts w:ascii="Palatino Linotype" w:hAnsi="Palatino Linotype" w:cs="Times New Roman"/>
          <w:szCs w:val="24"/>
        </w:rPr>
        <w:t xml:space="preserve">hearings </w:t>
      </w:r>
      <w:r w:rsidRPr="001D3305">
        <w:rPr>
          <w:rFonts w:ascii="Palatino Linotype" w:hAnsi="Palatino Linotype" w:cs="Times New Roman"/>
          <w:szCs w:val="24"/>
        </w:rPr>
        <w:t>“</w:t>
      </w:r>
      <w:r w:rsidR="001D3305" w:rsidRPr="001D3305">
        <w:rPr>
          <w:rFonts w:ascii="Palatino Linotype" w:hAnsi="Palatino Linotype" w:cs="Times New Roman"/>
          <w:szCs w:val="24"/>
        </w:rPr>
        <w:t>in-person” where physical</w:t>
      </w:r>
      <w:r w:rsidR="003E0579">
        <w:rPr>
          <w:rFonts w:ascii="Palatino Linotype" w:hAnsi="Palatino Linotype" w:cs="Times New Roman"/>
          <w:szCs w:val="24"/>
        </w:rPr>
        <w:t xml:space="preserve"> distancing can be accommodated and the court so </w:t>
      </w:r>
      <w:r w:rsidR="000214B2">
        <w:rPr>
          <w:rFonts w:ascii="Palatino Linotype" w:hAnsi="Palatino Linotype" w:cs="Times New Roman"/>
          <w:szCs w:val="24"/>
        </w:rPr>
        <w:t xml:space="preserve">directs. </w:t>
      </w:r>
      <w:r w:rsidR="001D3305" w:rsidRPr="001D3305">
        <w:rPr>
          <w:rFonts w:ascii="Palatino Linotype" w:hAnsi="Palatino Linotype" w:cs="Times New Roman"/>
          <w:szCs w:val="24"/>
        </w:rPr>
        <w:t>Where a party considers that a hearing cannot proceed by WebEx video conference, or cannot entirely be conducted in this manner, that party should advise the court of the reasons for that.  It will b</w:t>
      </w:r>
      <w:r w:rsidR="00F534D9">
        <w:rPr>
          <w:rFonts w:ascii="Palatino Linotype" w:hAnsi="Palatino Linotype" w:cs="Times New Roman"/>
          <w:szCs w:val="24"/>
        </w:rPr>
        <w:t xml:space="preserve">e a matter for the </w:t>
      </w:r>
      <w:r w:rsidR="003E0579">
        <w:rPr>
          <w:rFonts w:ascii="Palatino Linotype" w:hAnsi="Palatino Linotype" w:cs="Times New Roman"/>
          <w:szCs w:val="24"/>
        </w:rPr>
        <w:t xml:space="preserve">sheriff </w:t>
      </w:r>
      <w:r w:rsidR="003E0579" w:rsidRPr="001D3305">
        <w:rPr>
          <w:rFonts w:ascii="Palatino Linotype" w:hAnsi="Palatino Linotype" w:cs="Times New Roman"/>
          <w:szCs w:val="24"/>
        </w:rPr>
        <w:t>to</w:t>
      </w:r>
      <w:r w:rsidR="001D3305" w:rsidRPr="001D3305">
        <w:rPr>
          <w:rFonts w:ascii="Palatino Linotype" w:hAnsi="Palatino Linotype" w:cs="Times New Roman"/>
          <w:szCs w:val="24"/>
        </w:rPr>
        <w:t xml:space="preserve"> determine whether the hearing is suitable for a WebEx video c</w:t>
      </w:r>
      <w:r w:rsidR="003E0579">
        <w:rPr>
          <w:rFonts w:ascii="Palatino Linotype" w:hAnsi="Palatino Linotype" w:cs="Times New Roman"/>
          <w:szCs w:val="24"/>
        </w:rPr>
        <w:t xml:space="preserve">onference.  If the sheriff </w:t>
      </w:r>
      <w:r w:rsidR="003E0579" w:rsidRPr="001D3305">
        <w:rPr>
          <w:rFonts w:ascii="Palatino Linotype" w:hAnsi="Palatino Linotype" w:cs="Times New Roman"/>
          <w:szCs w:val="24"/>
        </w:rPr>
        <w:t>determines</w:t>
      </w:r>
      <w:r w:rsidR="001D3305" w:rsidRPr="001D3305">
        <w:rPr>
          <w:rFonts w:ascii="Palatino Linotype" w:hAnsi="Palatino Linotype" w:cs="Times New Roman"/>
          <w:szCs w:val="24"/>
        </w:rPr>
        <w:t xml:space="preserve"> that WebEx is not suitable, consideration will be given to whether a physically </w:t>
      </w:r>
      <w:r w:rsidR="003E0579" w:rsidRPr="001D3305">
        <w:rPr>
          <w:rFonts w:ascii="Palatino Linotype" w:hAnsi="Palatino Linotype" w:cs="Times New Roman"/>
          <w:szCs w:val="24"/>
        </w:rPr>
        <w:t xml:space="preserve">distanced </w:t>
      </w:r>
      <w:r w:rsidR="003E0579">
        <w:rPr>
          <w:rFonts w:ascii="Palatino Linotype" w:hAnsi="Palatino Linotype" w:cs="Times New Roman"/>
          <w:szCs w:val="24"/>
        </w:rPr>
        <w:t xml:space="preserve">live </w:t>
      </w:r>
      <w:r w:rsidR="001D3305" w:rsidRPr="001D3305">
        <w:rPr>
          <w:rFonts w:ascii="Palatino Linotype" w:hAnsi="Palatino Linotype" w:cs="Times New Roman"/>
          <w:szCs w:val="24"/>
        </w:rPr>
        <w:t>“in-person” hearing ca</w:t>
      </w:r>
      <w:r w:rsidR="00F534D9">
        <w:rPr>
          <w:rFonts w:ascii="Palatino Linotype" w:hAnsi="Palatino Linotype" w:cs="Times New Roman"/>
          <w:szCs w:val="24"/>
        </w:rPr>
        <w:t xml:space="preserve">n be accommodated.  </w:t>
      </w:r>
      <w:r w:rsidR="00E61DD5" w:rsidRPr="00B72268">
        <w:rPr>
          <w:rFonts w:ascii="Palatino Linotype" w:hAnsi="Palatino Linotype" w:cs="Times New Roman"/>
          <w:szCs w:val="24"/>
        </w:rPr>
        <w:t xml:space="preserve"> </w:t>
      </w:r>
      <w:r w:rsidR="003E0579">
        <w:rPr>
          <w:rFonts w:ascii="Palatino Linotype" w:hAnsi="Palatino Linotype" w:cs="Times New Roman"/>
          <w:szCs w:val="24"/>
        </w:rPr>
        <w:t xml:space="preserve">Any </w:t>
      </w:r>
      <w:r w:rsidR="00355DE1">
        <w:rPr>
          <w:rFonts w:ascii="Palatino Linotype" w:hAnsi="Palatino Linotype" w:cs="Times New Roman"/>
          <w:szCs w:val="24"/>
        </w:rPr>
        <w:t>li</w:t>
      </w:r>
      <w:r w:rsidR="00FD1806">
        <w:rPr>
          <w:rFonts w:ascii="Palatino Linotype" w:hAnsi="Palatino Linotype" w:cs="Times New Roman"/>
          <w:szCs w:val="24"/>
        </w:rPr>
        <w:t xml:space="preserve">ve </w:t>
      </w:r>
      <w:r w:rsidR="00FD1806">
        <w:rPr>
          <w:rFonts w:ascii="Palatino Linotype" w:hAnsi="Palatino Linotype" w:cs="Times New Roman"/>
          <w:szCs w:val="24"/>
        </w:rPr>
        <w:lastRenderedPageBreak/>
        <w:t xml:space="preserve">hearings </w:t>
      </w:r>
      <w:r w:rsidR="003E0579">
        <w:rPr>
          <w:rFonts w:ascii="Palatino Linotype" w:hAnsi="Palatino Linotype" w:cs="Times New Roman"/>
          <w:szCs w:val="24"/>
        </w:rPr>
        <w:t xml:space="preserve">must be </w:t>
      </w:r>
      <w:r w:rsidR="000214B2">
        <w:rPr>
          <w:rFonts w:ascii="Palatino Linotype" w:hAnsi="Palatino Linotype" w:cs="Times New Roman"/>
          <w:szCs w:val="24"/>
        </w:rPr>
        <w:t>conducted in</w:t>
      </w:r>
      <w:r w:rsidR="00E61DD5" w:rsidRPr="00B72268">
        <w:rPr>
          <w:rFonts w:ascii="Palatino Linotype" w:hAnsi="Palatino Linotype" w:cs="Times New Roman"/>
          <w:szCs w:val="24"/>
        </w:rPr>
        <w:t xml:space="preserve"> line with </w:t>
      </w:r>
      <w:r w:rsidR="00FD1806">
        <w:rPr>
          <w:rFonts w:ascii="Palatino Linotype" w:hAnsi="Palatino Linotype" w:cs="Times New Roman"/>
          <w:szCs w:val="24"/>
        </w:rPr>
        <w:t xml:space="preserve">government </w:t>
      </w:r>
      <w:r w:rsidR="00E61DD5" w:rsidRPr="00B72268">
        <w:rPr>
          <w:rFonts w:ascii="Palatino Linotype" w:hAnsi="Palatino Linotype" w:cs="Times New Roman"/>
          <w:szCs w:val="24"/>
        </w:rPr>
        <w:t>restrictions</w:t>
      </w:r>
      <w:r w:rsidR="00FD1806">
        <w:rPr>
          <w:rFonts w:ascii="Palatino Linotype" w:hAnsi="Palatino Linotype" w:cs="Times New Roman"/>
          <w:szCs w:val="24"/>
        </w:rPr>
        <w:t xml:space="preserve"> and </w:t>
      </w:r>
      <w:r w:rsidR="003E0579">
        <w:rPr>
          <w:rFonts w:ascii="Palatino Linotype" w:hAnsi="Palatino Linotype" w:cs="Times New Roman"/>
          <w:szCs w:val="24"/>
        </w:rPr>
        <w:t xml:space="preserve">subject to any conditions and </w:t>
      </w:r>
      <w:r w:rsidR="00FD1806">
        <w:rPr>
          <w:rFonts w:ascii="Palatino Linotype" w:hAnsi="Palatino Linotype" w:cs="Times New Roman"/>
          <w:szCs w:val="24"/>
        </w:rPr>
        <w:t>guidance</w:t>
      </w:r>
      <w:r w:rsidR="003E0579">
        <w:rPr>
          <w:rFonts w:ascii="Palatino Linotype" w:hAnsi="Palatino Linotype" w:cs="Times New Roman"/>
          <w:szCs w:val="24"/>
        </w:rPr>
        <w:t xml:space="preserve"> set by the </w:t>
      </w:r>
      <w:r w:rsidR="000214B2">
        <w:rPr>
          <w:rFonts w:ascii="Palatino Linotype" w:hAnsi="Palatino Linotype" w:cs="Times New Roman"/>
          <w:szCs w:val="24"/>
        </w:rPr>
        <w:t>court.</w:t>
      </w:r>
      <w:r w:rsidR="00FD1806">
        <w:rPr>
          <w:rFonts w:ascii="Palatino Linotype" w:hAnsi="Palatino Linotype" w:cs="Times New Roman"/>
          <w:szCs w:val="24"/>
        </w:rPr>
        <w:t xml:space="preserve"> </w:t>
      </w:r>
      <w:r w:rsidR="00EB4C9D">
        <w:rPr>
          <w:rFonts w:ascii="Palatino Linotype" w:hAnsi="Palatino Linotype" w:cs="Times New Roman"/>
          <w:szCs w:val="24"/>
        </w:rPr>
        <w:t xml:space="preserve"> </w:t>
      </w:r>
      <w:r w:rsidR="00E61DD5" w:rsidRPr="00B72268">
        <w:rPr>
          <w:rFonts w:ascii="Palatino Linotype" w:eastAsia="Times New Roman" w:hAnsi="Palatino Linotype" w:cs="Arial"/>
          <w:color w:val="000000"/>
          <w:lang w:eastAsia="en-GB"/>
        </w:rPr>
        <w:t xml:space="preserve">There will be no </w:t>
      </w:r>
      <w:r w:rsidR="00E61DD5" w:rsidRPr="00B72268">
        <w:rPr>
          <w:rFonts w:ascii="Palatino Linotype" w:hAnsi="Palatino Linotype" w:cs="Times New Roman"/>
          <w:szCs w:val="24"/>
        </w:rPr>
        <w:t>civil jury trials meantime</w:t>
      </w:r>
      <w:r w:rsidR="00001936" w:rsidRPr="00B72268">
        <w:rPr>
          <w:rFonts w:ascii="Palatino Linotype" w:hAnsi="Palatino Linotype" w:cs="Times New Roman"/>
          <w:szCs w:val="24"/>
        </w:rPr>
        <w:t>.</w:t>
      </w:r>
    </w:p>
    <w:p w14:paraId="7FC78FCD" w14:textId="77777777" w:rsidR="00E61DD5" w:rsidRPr="00B72268" w:rsidRDefault="00434043" w:rsidP="00E61DD5">
      <w:pPr>
        <w:spacing w:before="100" w:beforeAutospacing="1" w:after="240" w:line="360" w:lineRule="auto"/>
        <w:jc w:val="both"/>
        <w:rPr>
          <w:rFonts w:ascii="Palatino Linotype" w:eastAsia="Times New Roman" w:hAnsi="Palatino Linotype" w:cs="Arial"/>
          <w:b/>
          <w:color w:val="000000"/>
          <w:lang w:eastAsia="en-GB"/>
        </w:rPr>
      </w:pPr>
      <w:r w:rsidRPr="00B72268">
        <w:rPr>
          <w:rFonts w:ascii="Palatino Linotype" w:hAnsi="Palatino Linotype" w:cs="Times New Roman"/>
          <w:b/>
          <w:szCs w:val="24"/>
        </w:rPr>
        <w:t>Live hearings</w:t>
      </w:r>
    </w:p>
    <w:p w14:paraId="25E4B917" w14:textId="064946C8" w:rsidR="00B72268" w:rsidRPr="00B72268" w:rsidRDefault="00434043" w:rsidP="008E636D">
      <w:pPr>
        <w:numPr>
          <w:ilvl w:val="0"/>
          <w:numId w:val="1"/>
        </w:numPr>
        <w:spacing w:before="100" w:beforeAutospacing="1" w:after="240" w:line="360" w:lineRule="auto"/>
        <w:ind w:left="0" w:firstLine="0"/>
        <w:jc w:val="both"/>
        <w:rPr>
          <w:rFonts w:ascii="Palatino Linotype" w:hAnsi="Palatino Linotype" w:cs="Times New Roman"/>
        </w:rPr>
      </w:pPr>
      <w:r w:rsidRPr="00B72268">
        <w:rPr>
          <w:rFonts w:ascii="Palatino Linotype" w:hAnsi="Palatino Linotype" w:cs="Times New Roman"/>
        </w:rPr>
        <w:t xml:space="preserve"> Where one or more parties seek a live hearing, intimation of such must be given to the court as early as possible and in any event by not later than the date on which the pre-trial minute is to be lodged. </w:t>
      </w:r>
      <w:r w:rsidR="00E61DD5" w:rsidRPr="00B72268">
        <w:rPr>
          <w:rFonts w:ascii="Palatino Linotype" w:hAnsi="Palatino Linotype" w:cs="Times New Roman"/>
        </w:rPr>
        <w:t xml:space="preserve">Requests for a </w:t>
      </w:r>
      <w:r w:rsidR="00AC2581">
        <w:rPr>
          <w:rFonts w:ascii="Palatino Linotype" w:hAnsi="Palatino Linotype" w:cs="Times New Roman"/>
        </w:rPr>
        <w:t>proof</w:t>
      </w:r>
      <w:r w:rsidR="00E61DD5" w:rsidRPr="00B72268">
        <w:rPr>
          <w:rFonts w:ascii="Palatino Linotype" w:hAnsi="Palatino Linotype" w:cs="Times New Roman"/>
        </w:rPr>
        <w:t xml:space="preserve"> to be heard live will be considered by the court on a case by case basis.</w:t>
      </w:r>
      <w:r w:rsidRPr="00B72268">
        <w:rPr>
          <w:rFonts w:ascii="Palatino Linotype" w:hAnsi="Palatino Linotype" w:cs="Times New Roman"/>
        </w:rPr>
        <w:t xml:space="preserve"> Cause must be shown why a case is not suitable for a hearing by VC.</w:t>
      </w:r>
      <w:r w:rsidR="000C2AA4" w:rsidRPr="00B72268">
        <w:rPr>
          <w:rFonts w:ascii="Palatino Linotype" w:hAnsi="Palatino Linotype" w:cs="Times New Roman"/>
        </w:rPr>
        <w:t xml:space="preserve"> </w:t>
      </w:r>
      <w:r w:rsidR="008E636D" w:rsidRPr="00B72268">
        <w:rPr>
          <w:rFonts w:ascii="Palatino Linotype" w:hAnsi="Palatino Linotype" w:cs="Times New Roman"/>
        </w:rPr>
        <w:t>The factors set out in the Appendix hereto are matters which the court is likely to consider relevant to that issue.</w:t>
      </w:r>
    </w:p>
    <w:p w14:paraId="529D6685" w14:textId="52DBDB17" w:rsidR="00001936" w:rsidRPr="00B72268" w:rsidRDefault="00001936" w:rsidP="00B72268">
      <w:pPr>
        <w:numPr>
          <w:ilvl w:val="0"/>
          <w:numId w:val="1"/>
        </w:numPr>
        <w:spacing w:before="100" w:beforeAutospacing="1" w:after="240" w:line="360" w:lineRule="auto"/>
        <w:ind w:left="0" w:firstLine="0"/>
        <w:jc w:val="both"/>
        <w:rPr>
          <w:rFonts w:ascii="Palatino Linotype" w:hAnsi="Palatino Linotype" w:cs="Times New Roman"/>
        </w:rPr>
      </w:pPr>
      <w:r w:rsidRPr="00B72268">
        <w:rPr>
          <w:rFonts w:ascii="Palatino Linotype" w:hAnsi="Palatino Linotype" w:cs="Times New Roman"/>
        </w:rPr>
        <w:t xml:space="preserve">Where a request is </w:t>
      </w:r>
      <w:r w:rsidR="00B72268">
        <w:rPr>
          <w:rFonts w:ascii="Palatino Linotype" w:hAnsi="Palatino Linotype" w:cs="Times New Roman"/>
        </w:rPr>
        <w:t xml:space="preserve">made </w:t>
      </w:r>
      <w:r w:rsidRPr="00B72268">
        <w:rPr>
          <w:rFonts w:ascii="Palatino Linotype" w:hAnsi="Palatino Linotype" w:cs="Times New Roman"/>
        </w:rPr>
        <w:t xml:space="preserve">to hold a live hearing, the court may fix a pre-proof hearing to hear parties thereon. At that stage, parties will be expected to be in a position to provide the court </w:t>
      </w:r>
      <w:r w:rsidR="00AC2581">
        <w:rPr>
          <w:rFonts w:ascii="Palatino Linotype" w:hAnsi="Palatino Linotype" w:cs="Times New Roman"/>
        </w:rPr>
        <w:t xml:space="preserve">with the </w:t>
      </w:r>
      <w:r w:rsidRPr="00B72268">
        <w:rPr>
          <w:rFonts w:ascii="Palatino Linotype" w:hAnsi="Palatino Linotype" w:cs="Times New Roman"/>
        </w:rPr>
        <w:t xml:space="preserve">fullest information </w:t>
      </w:r>
      <w:r w:rsidR="008E636D" w:rsidRPr="00B72268">
        <w:rPr>
          <w:rFonts w:ascii="Palatino Linotype" w:hAnsi="Palatino Linotype" w:cs="Times New Roman"/>
        </w:rPr>
        <w:t>to enable it to properly consider and determine</w:t>
      </w:r>
      <w:r w:rsidR="00B5085D">
        <w:rPr>
          <w:rFonts w:ascii="Palatino Linotype" w:hAnsi="Palatino Linotype" w:cs="Times New Roman"/>
        </w:rPr>
        <w:t xml:space="preserve"> the most suitable mode of hearing the </w:t>
      </w:r>
      <w:r w:rsidR="00425B8D">
        <w:rPr>
          <w:rFonts w:ascii="Palatino Linotype" w:hAnsi="Palatino Linotype" w:cs="Times New Roman"/>
        </w:rPr>
        <w:t>proof.</w:t>
      </w:r>
    </w:p>
    <w:p w14:paraId="7B72DADF" w14:textId="77777777" w:rsidR="000820A3" w:rsidRDefault="000820A3" w:rsidP="00B72268">
      <w:pPr>
        <w:pStyle w:val="ListParagraph"/>
        <w:spacing w:before="100" w:beforeAutospacing="1" w:after="240" w:line="240" w:lineRule="auto"/>
        <w:ind w:left="5040"/>
        <w:jc w:val="both"/>
        <w:rPr>
          <w:rFonts w:ascii="Palatino Linotype" w:hAnsi="Palatino Linotype"/>
        </w:rPr>
      </w:pPr>
    </w:p>
    <w:p w14:paraId="0043A60F" w14:textId="77777777" w:rsidR="00641DBB" w:rsidRPr="00F6632A" w:rsidRDefault="00641DBB" w:rsidP="00641DBB">
      <w:pPr>
        <w:spacing w:after="0" w:line="240" w:lineRule="auto"/>
        <w:jc w:val="right"/>
        <w:rPr>
          <w:rFonts w:ascii="Kunstler Script" w:hAnsi="Kunstler Script" w:cs="Times New Roman"/>
          <w:b/>
          <w:sz w:val="40"/>
          <w:szCs w:val="48"/>
        </w:rPr>
      </w:pPr>
      <w:r w:rsidRPr="00F6632A">
        <w:rPr>
          <w:rFonts w:ascii="Kunstler Script" w:hAnsi="Kunstler Script" w:cs="Times New Roman"/>
          <w:b/>
          <w:sz w:val="40"/>
          <w:szCs w:val="48"/>
        </w:rPr>
        <w:t>Mhairi M Stephen</w:t>
      </w:r>
    </w:p>
    <w:p w14:paraId="3E464978" w14:textId="77777777" w:rsidR="00641DBB" w:rsidRPr="00F6632A" w:rsidRDefault="00641DBB" w:rsidP="00641DBB">
      <w:pPr>
        <w:spacing w:after="0" w:line="240" w:lineRule="auto"/>
        <w:jc w:val="both"/>
        <w:rPr>
          <w:rFonts w:ascii="Times New Roman" w:hAnsi="Times New Roman" w:cs="Times New Roman"/>
          <w:sz w:val="16"/>
          <w:szCs w:val="24"/>
        </w:rPr>
      </w:pPr>
    </w:p>
    <w:p w14:paraId="297D4708" w14:textId="77777777" w:rsidR="00641DBB" w:rsidRPr="00311F10" w:rsidRDefault="00641DBB" w:rsidP="00641DBB">
      <w:pPr>
        <w:tabs>
          <w:tab w:val="left" w:pos="1980"/>
          <w:tab w:val="left" w:pos="4140"/>
        </w:tabs>
        <w:spacing w:after="0" w:line="240" w:lineRule="auto"/>
        <w:jc w:val="right"/>
        <w:rPr>
          <w:rStyle w:val="Strong"/>
          <w:rFonts w:ascii="Palatino Linotype" w:hAnsi="Palatino Linotype" w:cs="Times New Roman"/>
        </w:rPr>
      </w:pPr>
      <w:r w:rsidRPr="00311F10">
        <w:rPr>
          <w:rStyle w:val="Strong"/>
          <w:rFonts w:ascii="Palatino Linotype" w:hAnsi="Palatino Linotype" w:cs="Times New Roman"/>
        </w:rPr>
        <w:t>Mhairi M Stephen QC</w:t>
      </w:r>
    </w:p>
    <w:p w14:paraId="461AB5E1" w14:textId="77777777" w:rsidR="00641DBB" w:rsidRPr="00311F10" w:rsidRDefault="00641DBB" w:rsidP="00641DBB">
      <w:pPr>
        <w:tabs>
          <w:tab w:val="left" w:pos="1980"/>
          <w:tab w:val="left" w:pos="4140"/>
        </w:tabs>
        <w:spacing w:after="0" w:line="240" w:lineRule="auto"/>
        <w:jc w:val="right"/>
        <w:rPr>
          <w:rStyle w:val="Strong"/>
          <w:rFonts w:ascii="Palatino Linotype" w:hAnsi="Palatino Linotype" w:cs="Times New Roman"/>
        </w:rPr>
      </w:pPr>
      <w:r w:rsidRPr="00311F10">
        <w:rPr>
          <w:rStyle w:val="Strong"/>
          <w:rFonts w:ascii="Palatino Linotype" w:hAnsi="Palatino Linotype" w:cs="Times New Roman"/>
        </w:rPr>
        <w:t xml:space="preserve">Sheriff Principal of Lothian and Borders </w:t>
      </w:r>
    </w:p>
    <w:p w14:paraId="09C04684" w14:textId="77777777" w:rsidR="00641DBB" w:rsidRPr="00311F10" w:rsidRDefault="00641DBB" w:rsidP="00641DBB">
      <w:pPr>
        <w:tabs>
          <w:tab w:val="left" w:pos="1980"/>
          <w:tab w:val="left" w:pos="4140"/>
        </w:tabs>
        <w:spacing w:after="0" w:line="240" w:lineRule="auto"/>
        <w:jc w:val="both"/>
        <w:rPr>
          <w:rStyle w:val="Strong"/>
          <w:rFonts w:ascii="Palatino Linotype" w:hAnsi="Palatino Linotype" w:cs="Times New Roman"/>
        </w:rPr>
      </w:pPr>
    </w:p>
    <w:p w14:paraId="305DFE43" w14:textId="2F54E23F" w:rsidR="00641DBB" w:rsidRPr="00311F10" w:rsidRDefault="00355DE1" w:rsidP="00641DBB">
      <w:pPr>
        <w:tabs>
          <w:tab w:val="left" w:pos="1980"/>
          <w:tab w:val="left" w:pos="4140"/>
        </w:tabs>
        <w:spacing w:after="0" w:line="240" w:lineRule="auto"/>
        <w:jc w:val="right"/>
        <w:rPr>
          <w:rStyle w:val="Strong"/>
          <w:rFonts w:ascii="Palatino Linotype" w:hAnsi="Palatino Linotype" w:cs="Times New Roman"/>
        </w:rPr>
      </w:pPr>
      <w:r>
        <w:rPr>
          <w:rStyle w:val="Strong"/>
          <w:rFonts w:ascii="Palatino Linotype" w:hAnsi="Palatino Linotype" w:cs="Times New Roman"/>
        </w:rPr>
        <w:t>31</w:t>
      </w:r>
      <w:r w:rsidR="00641DBB">
        <w:rPr>
          <w:rStyle w:val="Strong"/>
          <w:rFonts w:ascii="Palatino Linotype" w:hAnsi="Palatino Linotype" w:cs="Times New Roman"/>
        </w:rPr>
        <w:t xml:space="preserve"> August</w:t>
      </w:r>
      <w:r w:rsidR="00641DBB" w:rsidRPr="00311F10">
        <w:rPr>
          <w:rStyle w:val="Strong"/>
          <w:rFonts w:ascii="Palatino Linotype" w:hAnsi="Palatino Linotype" w:cs="Times New Roman"/>
        </w:rPr>
        <w:t xml:space="preserve"> 2020</w:t>
      </w:r>
    </w:p>
    <w:p w14:paraId="20F00EAF" w14:textId="77777777" w:rsidR="000820A3" w:rsidRPr="00B72268" w:rsidRDefault="000820A3" w:rsidP="00B72268">
      <w:pPr>
        <w:spacing w:before="100" w:beforeAutospacing="1" w:after="240" w:line="360" w:lineRule="auto"/>
        <w:jc w:val="both"/>
        <w:rPr>
          <w:rFonts w:ascii="Palatino Linotype" w:eastAsia="Times New Roman" w:hAnsi="Palatino Linotype" w:cs="Arial"/>
          <w:color w:val="000000"/>
          <w:lang w:eastAsia="en-GB"/>
        </w:rPr>
      </w:pPr>
    </w:p>
    <w:p w14:paraId="347007D9" w14:textId="77777777" w:rsidR="000820A3" w:rsidRPr="00B72268" w:rsidRDefault="000820A3" w:rsidP="00B72268">
      <w:pPr>
        <w:spacing w:before="100" w:beforeAutospacing="1" w:after="240" w:line="360" w:lineRule="auto"/>
        <w:jc w:val="both"/>
        <w:rPr>
          <w:rFonts w:ascii="Palatino Linotype" w:eastAsia="Times New Roman" w:hAnsi="Palatino Linotype" w:cs="Arial"/>
          <w:color w:val="000000"/>
          <w:lang w:eastAsia="en-GB"/>
        </w:rPr>
      </w:pPr>
    </w:p>
    <w:p w14:paraId="48E9D31E" w14:textId="77777777" w:rsidR="00FF0440" w:rsidRDefault="00FF0440">
      <w:pPr>
        <w:spacing w:line="259" w:lineRule="auto"/>
        <w:rPr>
          <w:rFonts w:ascii="Palatino Linotype" w:eastAsia="Times New Roman" w:hAnsi="Palatino Linotype" w:cs="Arial"/>
          <w:b/>
          <w:color w:val="000000"/>
          <w:u w:val="single"/>
          <w:lang w:eastAsia="en-GB"/>
        </w:rPr>
      </w:pPr>
      <w:r>
        <w:rPr>
          <w:rFonts w:ascii="Palatino Linotype" w:eastAsia="Times New Roman" w:hAnsi="Palatino Linotype" w:cs="Arial"/>
          <w:b/>
          <w:color w:val="000000"/>
          <w:u w:val="single"/>
          <w:lang w:eastAsia="en-GB"/>
        </w:rPr>
        <w:br w:type="page"/>
      </w:r>
    </w:p>
    <w:p w14:paraId="4D550415" w14:textId="77777777" w:rsidR="00E61DD5" w:rsidRPr="00B72268" w:rsidRDefault="000C2AA4" w:rsidP="00CA1094">
      <w:pPr>
        <w:spacing w:before="100" w:beforeAutospacing="1" w:after="240" w:line="240" w:lineRule="auto"/>
        <w:jc w:val="both"/>
        <w:rPr>
          <w:rFonts w:ascii="Palatino Linotype" w:eastAsia="Times New Roman" w:hAnsi="Palatino Linotype" w:cs="Arial"/>
          <w:b/>
          <w:color w:val="000000"/>
          <w:u w:val="single"/>
          <w:lang w:eastAsia="en-GB"/>
        </w:rPr>
      </w:pPr>
      <w:r w:rsidRPr="00B72268">
        <w:rPr>
          <w:rFonts w:ascii="Palatino Linotype" w:eastAsia="Times New Roman" w:hAnsi="Palatino Linotype" w:cs="Arial"/>
          <w:b/>
          <w:color w:val="000000"/>
          <w:u w:val="single"/>
          <w:lang w:eastAsia="en-GB"/>
        </w:rPr>
        <w:lastRenderedPageBreak/>
        <w:t>Appendix</w:t>
      </w:r>
    </w:p>
    <w:p w14:paraId="518A7FD5" w14:textId="77777777" w:rsidR="00E61DD5" w:rsidRPr="00B72268" w:rsidRDefault="00E61DD5" w:rsidP="00CA1094">
      <w:pPr>
        <w:spacing w:before="100" w:beforeAutospacing="1" w:after="240" w:line="240" w:lineRule="auto"/>
        <w:jc w:val="both"/>
        <w:rPr>
          <w:rFonts w:ascii="Palatino Linotype" w:eastAsia="Times New Roman" w:hAnsi="Palatino Linotype" w:cs="Arial"/>
          <w:color w:val="000000"/>
          <w:lang w:eastAsia="en-GB"/>
        </w:rPr>
      </w:pPr>
      <w:r w:rsidRPr="00B72268">
        <w:rPr>
          <w:rFonts w:ascii="Palatino Linotype" w:eastAsia="Times New Roman" w:hAnsi="Palatino Linotype" w:cs="Arial"/>
          <w:i/>
          <w:color w:val="000000"/>
          <w:lang w:eastAsia="en-GB"/>
        </w:rPr>
        <w:t>Number of issues to be tried</w:t>
      </w:r>
    </w:p>
    <w:p w14:paraId="4956DEED" w14:textId="77777777" w:rsidR="00E61DD5" w:rsidRPr="00B72268" w:rsidRDefault="00E61DD5" w:rsidP="00CA1094">
      <w:pPr>
        <w:spacing w:before="100" w:beforeAutospacing="1" w:after="240" w:line="240" w:lineRule="auto"/>
        <w:ind w:left="360"/>
        <w:jc w:val="both"/>
        <w:rPr>
          <w:rFonts w:ascii="Palatino Linotype" w:eastAsia="Times New Roman" w:hAnsi="Palatino Linotype" w:cs="Arial"/>
          <w:color w:val="000000"/>
          <w:lang w:eastAsia="en-GB"/>
        </w:rPr>
      </w:pPr>
      <w:r w:rsidRPr="00B72268">
        <w:rPr>
          <w:rFonts w:ascii="Palatino Linotype" w:eastAsia="Times New Roman" w:hAnsi="Palatino Linotype" w:cs="Arial"/>
          <w:color w:val="000000"/>
          <w:lang w:eastAsia="en-GB"/>
        </w:rPr>
        <w:t>The extent of agreement or disagreement over primary liability (duty, breach thereof, causation); contributory negligence; and quantum.  (Practitioners may wish to consider whether in some cases a liability only proof would be of assistance).</w:t>
      </w:r>
    </w:p>
    <w:p w14:paraId="24B30E0E" w14:textId="77777777" w:rsidR="00E61DD5" w:rsidRPr="00B72268" w:rsidRDefault="00E61DD5" w:rsidP="00CA1094">
      <w:pPr>
        <w:spacing w:before="100" w:beforeAutospacing="1" w:after="240" w:line="240" w:lineRule="auto"/>
        <w:jc w:val="both"/>
        <w:rPr>
          <w:rFonts w:ascii="Palatino Linotype" w:eastAsia="Times New Roman" w:hAnsi="Palatino Linotype" w:cs="Arial"/>
          <w:i/>
          <w:color w:val="000000"/>
          <w:lang w:eastAsia="en-GB"/>
        </w:rPr>
      </w:pPr>
      <w:r w:rsidRPr="00B72268">
        <w:rPr>
          <w:rFonts w:ascii="Palatino Linotype" w:eastAsia="Times New Roman" w:hAnsi="Palatino Linotype" w:cs="Arial"/>
          <w:i/>
          <w:color w:val="000000"/>
          <w:lang w:eastAsia="en-GB"/>
        </w:rPr>
        <w:t>Scope and nature of issues to be tried.</w:t>
      </w:r>
    </w:p>
    <w:p w14:paraId="042EEE68" w14:textId="77777777" w:rsidR="00E61DD5" w:rsidRPr="00B72268" w:rsidRDefault="00E61DD5" w:rsidP="00CA1094">
      <w:pPr>
        <w:spacing w:before="100" w:beforeAutospacing="1" w:after="240" w:line="240" w:lineRule="auto"/>
        <w:ind w:left="360"/>
        <w:jc w:val="both"/>
        <w:rPr>
          <w:rFonts w:ascii="Palatino Linotype" w:eastAsia="Times New Roman" w:hAnsi="Palatino Linotype" w:cs="Arial"/>
          <w:color w:val="000000"/>
          <w:lang w:eastAsia="en-GB"/>
        </w:rPr>
      </w:pPr>
      <w:r w:rsidRPr="00B72268">
        <w:rPr>
          <w:rFonts w:ascii="Palatino Linotype" w:eastAsia="Times New Roman" w:hAnsi="Palatino Linotype" w:cs="Arial"/>
          <w:color w:val="000000"/>
          <w:lang w:eastAsia="en-GB"/>
        </w:rPr>
        <w:t>Are all the issues to be tried clear and well defined or is there a risk of a hearing punctuated by objections?</w:t>
      </w:r>
    </w:p>
    <w:p w14:paraId="177CAB8E" w14:textId="77777777" w:rsidR="00E61DD5" w:rsidRPr="00B72268" w:rsidRDefault="00E61DD5" w:rsidP="00CA1094">
      <w:pPr>
        <w:spacing w:before="100" w:beforeAutospacing="1" w:after="240" w:line="240" w:lineRule="auto"/>
        <w:jc w:val="both"/>
        <w:rPr>
          <w:rFonts w:ascii="Palatino Linotype" w:eastAsia="Times New Roman" w:hAnsi="Palatino Linotype" w:cs="Arial"/>
          <w:color w:val="000000"/>
          <w:lang w:eastAsia="en-GB"/>
        </w:rPr>
      </w:pPr>
      <w:r w:rsidRPr="00B72268">
        <w:rPr>
          <w:rFonts w:ascii="Palatino Linotype" w:eastAsia="Times New Roman" w:hAnsi="Palatino Linotype" w:cs="Arial"/>
          <w:i/>
          <w:color w:val="000000"/>
          <w:lang w:eastAsia="en-GB"/>
        </w:rPr>
        <w:t>Sources of evidence</w:t>
      </w:r>
    </w:p>
    <w:p w14:paraId="24CE1AAA" w14:textId="77777777" w:rsidR="00E61DD5" w:rsidRPr="00B72268" w:rsidRDefault="00E61DD5" w:rsidP="00CA1094">
      <w:pPr>
        <w:spacing w:before="100" w:beforeAutospacing="1" w:after="240" w:line="240" w:lineRule="auto"/>
        <w:ind w:left="360"/>
        <w:jc w:val="both"/>
        <w:rPr>
          <w:rFonts w:ascii="Palatino Linotype" w:eastAsia="Times New Roman" w:hAnsi="Palatino Linotype" w:cs="Arial"/>
          <w:color w:val="000000"/>
          <w:lang w:eastAsia="en-GB"/>
        </w:rPr>
      </w:pPr>
      <w:r w:rsidRPr="00B72268">
        <w:rPr>
          <w:rFonts w:ascii="Palatino Linotype" w:eastAsia="Times New Roman" w:hAnsi="Palatino Linotype" w:cs="Arial"/>
          <w:color w:val="000000"/>
          <w:lang w:eastAsia="en-GB"/>
        </w:rPr>
        <w:t>What is the ev</w:t>
      </w:r>
      <w:r w:rsidRPr="00B72268">
        <w:rPr>
          <w:rFonts w:ascii="Palatino Linotype" w:eastAsia="Times New Roman" w:hAnsi="Palatino Linotype" w:cs="Times New Roman"/>
          <w:color w:val="212121"/>
          <w:szCs w:val="24"/>
          <w:lang w:eastAsia="en-GB"/>
        </w:rPr>
        <w:t>idence that is to be adduced and assimilated by the court e.g. is it written or oral, given by a skilled or lay witness, contested or uncontested, or factual or expert evidence?</w:t>
      </w:r>
    </w:p>
    <w:p w14:paraId="11E1A874" w14:textId="77777777" w:rsidR="00E61DD5" w:rsidRPr="00B72268" w:rsidRDefault="00E61DD5" w:rsidP="00CA1094">
      <w:pPr>
        <w:spacing w:before="100" w:beforeAutospacing="1" w:after="240" w:line="240" w:lineRule="auto"/>
        <w:jc w:val="both"/>
        <w:rPr>
          <w:rFonts w:ascii="Palatino Linotype" w:eastAsia="Times New Roman" w:hAnsi="Palatino Linotype" w:cs="Arial"/>
          <w:i/>
          <w:color w:val="000000"/>
          <w:lang w:eastAsia="en-GB"/>
        </w:rPr>
      </w:pPr>
      <w:r w:rsidRPr="00B72268">
        <w:rPr>
          <w:rFonts w:ascii="Palatino Linotype" w:eastAsia="Times New Roman" w:hAnsi="Palatino Linotype" w:cs="Arial"/>
          <w:i/>
          <w:color w:val="000000"/>
          <w:lang w:eastAsia="en-GB"/>
        </w:rPr>
        <w:t>Number of witnesses</w:t>
      </w:r>
    </w:p>
    <w:p w14:paraId="19082290" w14:textId="77777777" w:rsidR="00E61DD5" w:rsidRPr="00B72268" w:rsidRDefault="00E61DD5" w:rsidP="00CA1094">
      <w:pPr>
        <w:spacing w:before="100" w:beforeAutospacing="1" w:after="240" w:line="240" w:lineRule="auto"/>
        <w:ind w:left="568"/>
        <w:jc w:val="both"/>
        <w:rPr>
          <w:rFonts w:ascii="Palatino Linotype" w:eastAsia="Times New Roman" w:hAnsi="Palatino Linotype" w:cs="Arial"/>
          <w:color w:val="000000"/>
          <w:lang w:eastAsia="en-GB"/>
        </w:rPr>
      </w:pPr>
      <w:r w:rsidRPr="00B72268">
        <w:rPr>
          <w:rFonts w:ascii="Palatino Linotype" w:eastAsia="Times New Roman" w:hAnsi="Palatino Linotype" w:cs="Arial"/>
          <w:color w:val="000000"/>
          <w:lang w:eastAsia="en-GB"/>
        </w:rPr>
        <w:t>A large number</w:t>
      </w:r>
      <w:r w:rsidR="00FD1806">
        <w:rPr>
          <w:rFonts w:ascii="Palatino Linotype" w:eastAsia="Times New Roman" w:hAnsi="Palatino Linotype" w:cs="Arial"/>
          <w:color w:val="000000"/>
          <w:lang w:eastAsia="en-GB"/>
        </w:rPr>
        <w:t>, thereby</w:t>
      </w:r>
      <w:r w:rsidRPr="00B72268">
        <w:rPr>
          <w:rFonts w:ascii="Palatino Linotype" w:eastAsia="Times New Roman" w:hAnsi="Palatino Linotype" w:cs="Arial"/>
          <w:color w:val="000000"/>
          <w:lang w:eastAsia="en-GB"/>
        </w:rPr>
        <w:t xml:space="preserve"> increas</w:t>
      </w:r>
      <w:r w:rsidR="00FD1806">
        <w:rPr>
          <w:rFonts w:ascii="Palatino Linotype" w:eastAsia="Times New Roman" w:hAnsi="Palatino Linotype" w:cs="Arial"/>
          <w:color w:val="000000"/>
          <w:lang w:eastAsia="en-GB"/>
        </w:rPr>
        <w:t>ing</w:t>
      </w:r>
      <w:r w:rsidRPr="00B72268">
        <w:rPr>
          <w:rFonts w:ascii="Palatino Linotype" w:eastAsia="Times New Roman" w:hAnsi="Palatino Linotype" w:cs="Arial"/>
          <w:color w:val="000000"/>
          <w:lang w:eastAsia="en-GB"/>
        </w:rPr>
        <w:t xml:space="preserve"> witness management and scheduling problems for the parties and the court.</w:t>
      </w:r>
    </w:p>
    <w:p w14:paraId="6822BF88" w14:textId="77777777" w:rsidR="00E61DD5" w:rsidRPr="00B72268" w:rsidRDefault="00E61DD5" w:rsidP="00CA1094">
      <w:pPr>
        <w:spacing w:before="100" w:beforeAutospacing="1" w:after="240" w:line="240" w:lineRule="auto"/>
        <w:jc w:val="both"/>
        <w:rPr>
          <w:rFonts w:ascii="Palatino Linotype" w:eastAsia="Times New Roman" w:hAnsi="Palatino Linotype" w:cs="Arial"/>
          <w:i/>
          <w:color w:val="000000"/>
          <w:lang w:eastAsia="en-GB"/>
        </w:rPr>
      </w:pPr>
      <w:r w:rsidRPr="00B72268">
        <w:rPr>
          <w:rFonts w:ascii="Palatino Linotype" w:eastAsia="Times New Roman" w:hAnsi="Palatino Linotype" w:cs="Arial"/>
          <w:i/>
          <w:color w:val="000000"/>
          <w:lang w:eastAsia="en-GB"/>
        </w:rPr>
        <w:t>Duration of proof</w:t>
      </w:r>
    </w:p>
    <w:p w14:paraId="181AC0B7" w14:textId="77777777" w:rsidR="00E61DD5" w:rsidRPr="00B72268" w:rsidRDefault="00E61DD5" w:rsidP="00CA1094">
      <w:pPr>
        <w:spacing w:before="100" w:beforeAutospacing="1" w:after="240" w:line="240" w:lineRule="auto"/>
        <w:ind w:left="568"/>
        <w:jc w:val="both"/>
        <w:rPr>
          <w:rFonts w:ascii="Palatino Linotype" w:eastAsia="Times New Roman" w:hAnsi="Palatino Linotype" w:cs="Arial"/>
          <w:color w:val="000000"/>
          <w:lang w:eastAsia="en-GB"/>
        </w:rPr>
      </w:pPr>
      <w:r w:rsidRPr="00B72268">
        <w:rPr>
          <w:rFonts w:ascii="Palatino Linotype" w:eastAsia="Times New Roman" w:hAnsi="Palatino Linotype" w:cs="Arial"/>
          <w:color w:val="000000"/>
          <w:lang w:eastAsia="en-GB"/>
        </w:rPr>
        <w:t>Proofs which are likely to extend to multiple days or exceed the court days allocated.</w:t>
      </w:r>
    </w:p>
    <w:p w14:paraId="555FED11" w14:textId="77777777" w:rsidR="00E61DD5" w:rsidRPr="00B72268" w:rsidRDefault="00E61DD5" w:rsidP="00CA1094">
      <w:pPr>
        <w:spacing w:before="100" w:beforeAutospacing="1" w:after="240" w:line="240" w:lineRule="auto"/>
        <w:jc w:val="both"/>
        <w:rPr>
          <w:rFonts w:ascii="Palatino Linotype" w:eastAsia="Times New Roman" w:hAnsi="Palatino Linotype" w:cs="Arial"/>
          <w:i/>
          <w:color w:val="000000"/>
          <w:lang w:eastAsia="en-GB"/>
        </w:rPr>
      </w:pPr>
      <w:r w:rsidRPr="00B72268">
        <w:rPr>
          <w:rFonts w:ascii="Palatino Linotype" w:eastAsia="Times New Roman" w:hAnsi="Palatino Linotype" w:cs="Arial"/>
          <w:i/>
          <w:color w:val="000000"/>
          <w:lang w:eastAsia="en-GB"/>
        </w:rPr>
        <w:t>Type of witnesses</w:t>
      </w:r>
    </w:p>
    <w:p w14:paraId="5C16950B" w14:textId="77777777" w:rsidR="00E61DD5" w:rsidRPr="00B72268" w:rsidRDefault="00E61DD5" w:rsidP="00CA1094">
      <w:pPr>
        <w:spacing w:before="100" w:beforeAutospacing="1" w:after="240" w:line="240" w:lineRule="auto"/>
        <w:ind w:left="568"/>
        <w:jc w:val="both"/>
        <w:rPr>
          <w:rFonts w:ascii="Palatino Linotype" w:hAnsi="Palatino Linotype"/>
        </w:rPr>
      </w:pPr>
      <w:r w:rsidRPr="00B72268">
        <w:rPr>
          <w:rFonts w:ascii="Palatino Linotype" w:hAnsi="Palatino Linotype"/>
        </w:rPr>
        <w:t>Involvement of party litigant.</w:t>
      </w:r>
    </w:p>
    <w:p w14:paraId="6960A81A" w14:textId="77777777" w:rsidR="00E61DD5" w:rsidRPr="00B72268" w:rsidRDefault="00E61DD5" w:rsidP="00CA1094">
      <w:pPr>
        <w:spacing w:before="100" w:beforeAutospacing="1" w:after="240" w:line="240" w:lineRule="auto"/>
        <w:ind w:left="568"/>
        <w:jc w:val="both"/>
        <w:rPr>
          <w:rFonts w:ascii="Palatino Linotype" w:eastAsia="Times New Roman" w:hAnsi="Palatino Linotype" w:cs="Arial"/>
          <w:color w:val="000000"/>
          <w:lang w:eastAsia="en-GB"/>
        </w:rPr>
      </w:pPr>
      <w:r w:rsidRPr="00B72268">
        <w:rPr>
          <w:rFonts w:ascii="Palatino Linotype" w:hAnsi="Palatino Linotype"/>
        </w:rPr>
        <w:t>The involvement of lay witnesses who have communication or language issues.</w:t>
      </w:r>
    </w:p>
    <w:p w14:paraId="3C1DD6DF" w14:textId="77777777" w:rsidR="006915E5" w:rsidRDefault="00E61DD5" w:rsidP="00CA1094">
      <w:pPr>
        <w:spacing w:before="100" w:beforeAutospacing="1" w:after="240" w:line="240" w:lineRule="auto"/>
        <w:ind w:left="568"/>
        <w:jc w:val="both"/>
        <w:rPr>
          <w:rFonts w:ascii="Palatino Linotype" w:hAnsi="Palatino Linotype"/>
        </w:rPr>
      </w:pPr>
      <w:r w:rsidRPr="00B72268">
        <w:rPr>
          <w:rFonts w:ascii="Palatino Linotype" w:hAnsi="Palatino Linotype"/>
        </w:rPr>
        <w:t>The giving of evidence of a sensitive or private nature (see below).</w:t>
      </w:r>
      <w:r w:rsidR="006915E5">
        <w:rPr>
          <w:rFonts w:ascii="Palatino Linotype" w:hAnsi="Palatino Linotype"/>
        </w:rPr>
        <w:t xml:space="preserve"> </w:t>
      </w:r>
    </w:p>
    <w:p w14:paraId="5FC8F24A" w14:textId="77777777" w:rsidR="00E61DD5" w:rsidRDefault="00E61DD5" w:rsidP="00CA1094">
      <w:pPr>
        <w:spacing w:before="100" w:beforeAutospacing="1" w:after="240" w:line="240" w:lineRule="auto"/>
        <w:ind w:left="568"/>
        <w:jc w:val="both"/>
        <w:rPr>
          <w:rFonts w:ascii="Palatino Linotype" w:hAnsi="Palatino Linotype"/>
        </w:rPr>
      </w:pPr>
      <w:r w:rsidRPr="00B72268">
        <w:rPr>
          <w:rFonts w:ascii="Palatino Linotype" w:hAnsi="Palatino Linotype"/>
        </w:rPr>
        <w:t>Evidence from multiple skilled persons and/or which is of a highly technical or complex nature or requires reference to multiple documents.</w:t>
      </w:r>
    </w:p>
    <w:p w14:paraId="3B03F373" w14:textId="77777777" w:rsidR="006915E5" w:rsidRDefault="006915E5" w:rsidP="00CA1094">
      <w:pPr>
        <w:spacing w:before="100" w:beforeAutospacing="1" w:after="240" w:line="240" w:lineRule="auto"/>
        <w:ind w:left="568"/>
        <w:jc w:val="both"/>
        <w:rPr>
          <w:rFonts w:ascii="Palatino Linotype" w:hAnsi="Palatino Linotype"/>
        </w:rPr>
      </w:pPr>
      <w:r>
        <w:rPr>
          <w:rFonts w:ascii="Palatino Linotype" w:hAnsi="Palatino Linotype"/>
        </w:rPr>
        <w:t>Witnesses for whom personal attendance at court would pose health risks.</w:t>
      </w:r>
    </w:p>
    <w:p w14:paraId="219F5234" w14:textId="77777777" w:rsidR="006915E5" w:rsidRPr="00B72268" w:rsidRDefault="006915E5" w:rsidP="00CA1094">
      <w:pPr>
        <w:spacing w:before="100" w:beforeAutospacing="1" w:after="240" w:line="240" w:lineRule="auto"/>
        <w:ind w:left="568"/>
        <w:jc w:val="both"/>
        <w:rPr>
          <w:rFonts w:ascii="Palatino Linotype" w:eastAsia="Times New Roman" w:hAnsi="Palatino Linotype" w:cs="Arial"/>
          <w:color w:val="000000"/>
          <w:lang w:eastAsia="en-GB"/>
        </w:rPr>
      </w:pPr>
      <w:r>
        <w:rPr>
          <w:rFonts w:ascii="Palatino Linotype" w:hAnsi="Palatino Linotype"/>
        </w:rPr>
        <w:t>Witnesses who do not have access to or would have difficulty using computer devices.</w:t>
      </w:r>
    </w:p>
    <w:p w14:paraId="78215D0B" w14:textId="77777777" w:rsidR="00E61DD5" w:rsidRPr="00B72268" w:rsidRDefault="00E61DD5" w:rsidP="00CA1094">
      <w:pPr>
        <w:spacing w:before="100" w:beforeAutospacing="1" w:after="240" w:line="240" w:lineRule="auto"/>
        <w:jc w:val="both"/>
        <w:rPr>
          <w:rFonts w:ascii="Palatino Linotype" w:eastAsia="Times New Roman" w:hAnsi="Palatino Linotype" w:cs="Arial"/>
          <w:i/>
          <w:color w:val="000000"/>
          <w:lang w:eastAsia="en-GB"/>
        </w:rPr>
      </w:pPr>
      <w:r w:rsidRPr="00B72268">
        <w:rPr>
          <w:rFonts w:ascii="Palatino Linotype" w:hAnsi="Palatino Linotype"/>
          <w:i/>
        </w:rPr>
        <w:t xml:space="preserve">Connection and privacy </w:t>
      </w:r>
    </w:p>
    <w:p w14:paraId="32FB6C21" w14:textId="77777777" w:rsidR="00E61DD5" w:rsidRPr="00B72268" w:rsidRDefault="00E61DD5" w:rsidP="00CA1094">
      <w:pPr>
        <w:spacing w:before="100" w:beforeAutospacing="1" w:after="240" w:line="240" w:lineRule="auto"/>
        <w:ind w:left="720"/>
        <w:jc w:val="both"/>
        <w:rPr>
          <w:rFonts w:ascii="Palatino Linotype" w:hAnsi="Palatino Linotype"/>
          <w:b/>
        </w:rPr>
      </w:pPr>
      <w:r w:rsidRPr="00B72268">
        <w:rPr>
          <w:rFonts w:ascii="Palatino Linotype" w:eastAsia="Times New Roman" w:hAnsi="Palatino Linotype" w:cs="Arial"/>
          <w:color w:val="000000"/>
          <w:lang w:eastAsia="en-GB"/>
        </w:rPr>
        <w:t xml:space="preserve">Witnesses who cannot access </w:t>
      </w:r>
      <w:r w:rsidRPr="00B72268">
        <w:rPr>
          <w:rFonts w:ascii="Palatino Linotype" w:hAnsi="Palatino Linotype"/>
        </w:rPr>
        <w:t>suitable phone internet connection and appropriate location where they can participate undisturbed.</w:t>
      </w:r>
    </w:p>
    <w:p w14:paraId="726FEEA6" w14:textId="77777777" w:rsidR="00E61DD5" w:rsidRPr="00B72268" w:rsidRDefault="00E61DD5" w:rsidP="00CA1094">
      <w:pPr>
        <w:spacing w:before="100" w:beforeAutospacing="1" w:after="240" w:line="240" w:lineRule="auto"/>
        <w:jc w:val="both"/>
        <w:rPr>
          <w:rFonts w:ascii="Palatino Linotype" w:hAnsi="Palatino Linotype"/>
          <w:i/>
        </w:rPr>
      </w:pPr>
      <w:r w:rsidRPr="00B72268">
        <w:rPr>
          <w:rFonts w:ascii="Palatino Linotype" w:hAnsi="Palatino Linotype"/>
          <w:i/>
        </w:rPr>
        <w:lastRenderedPageBreak/>
        <w:t>Public or Private Hearing</w:t>
      </w:r>
    </w:p>
    <w:p w14:paraId="4B234D24" w14:textId="77777777" w:rsidR="00E61DD5" w:rsidRPr="00B72268" w:rsidRDefault="00E61DD5" w:rsidP="00CA1094">
      <w:pPr>
        <w:spacing w:before="100" w:beforeAutospacing="1" w:after="240" w:line="240" w:lineRule="auto"/>
        <w:ind w:left="142" w:firstLine="578"/>
        <w:jc w:val="both"/>
        <w:rPr>
          <w:rFonts w:ascii="Palatino Linotype" w:hAnsi="Palatino Linotype"/>
        </w:rPr>
      </w:pPr>
      <w:r w:rsidRPr="00B72268">
        <w:rPr>
          <w:rFonts w:ascii="Palatino Linotype" w:hAnsi="Palatino Linotype"/>
        </w:rPr>
        <w:t>The need for evidence to be heard in private.</w:t>
      </w:r>
    </w:p>
    <w:p w14:paraId="24533B37" w14:textId="77777777" w:rsidR="00E61DD5" w:rsidRPr="00B72268" w:rsidRDefault="00E61DD5" w:rsidP="00CA1094">
      <w:pPr>
        <w:spacing w:before="100" w:beforeAutospacing="1" w:after="240" w:line="240" w:lineRule="auto"/>
        <w:jc w:val="both"/>
        <w:rPr>
          <w:rFonts w:ascii="Palatino Linotype" w:hAnsi="Palatino Linotype"/>
          <w:i/>
        </w:rPr>
      </w:pPr>
      <w:r w:rsidRPr="00B72268">
        <w:rPr>
          <w:rFonts w:ascii="Palatino Linotype" w:hAnsi="Palatino Linotype"/>
          <w:i/>
        </w:rPr>
        <w:t>Documents</w:t>
      </w:r>
    </w:p>
    <w:p w14:paraId="28137E5B" w14:textId="77777777" w:rsidR="00E61DD5" w:rsidRDefault="00E61DD5" w:rsidP="00CA1094">
      <w:pPr>
        <w:spacing w:before="100" w:beforeAutospacing="1" w:after="240" w:line="240" w:lineRule="auto"/>
        <w:ind w:left="142" w:firstLine="578"/>
        <w:jc w:val="both"/>
        <w:rPr>
          <w:rFonts w:ascii="Palatino Linotype" w:hAnsi="Palatino Linotype"/>
        </w:rPr>
      </w:pPr>
      <w:r w:rsidRPr="00B72268">
        <w:rPr>
          <w:rFonts w:ascii="Palatino Linotype" w:hAnsi="Palatino Linotype"/>
        </w:rPr>
        <w:t>The requirement for large numbers of documents to be put in evidence or referred to.</w:t>
      </w:r>
    </w:p>
    <w:p w14:paraId="0EE32694" w14:textId="77777777" w:rsidR="00A313BA" w:rsidRDefault="00A313BA" w:rsidP="00A313BA">
      <w:pPr>
        <w:spacing w:before="100" w:beforeAutospacing="1" w:after="240" w:line="240" w:lineRule="auto"/>
        <w:jc w:val="both"/>
        <w:rPr>
          <w:rFonts w:ascii="Palatino Linotype" w:hAnsi="Palatino Linotype"/>
          <w:i/>
        </w:rPr>
      </w:pPr>
      <w:r w:rsidRPr="00A313BA">
        <w:rPr>
          <w:rFonts w:ascii="Palatino Linotype" w:hAnsi="Palatino Linotype"/>
          <w:i/>
        </w:rPr>
        <w:t>Other productions</w:t>
      </w:r>
    </w:p>
    <w:p w14:paraId="3B4BB41D" w14:textId="77777777" w:rsidR="00A313BA" w:rsidRPr="00A313BA" w:rsidRDefault="00A313BA" w:rsidP="00A313BA">
      <w:pPr>
        <w:spacing w:before="100" w:beforeAutospacing="1" w:after="240" w:line="240" w:lineRule="auto"/>
        <w:jc w:val="both"/>
        <w:rPr>
          <w:rFonts w:ascii="Palatino Linotype" w:hAnsi="Palatino Linotype"/>
        </w:rPr>
      </w:pPr>
      <w:r>
        <w:rPr>
          <w:rFonts w:ascii="Palatino Linotype" w:hAnsi="Palatino Linotype"/>
        </w:rPr>
        <w:t>Are witnesses to be referred to items of real evidence?</w:t>
      </w:r>
    </w:p>
    <w:p w14:paraId="624986CA" w14:textId="77777777" w:rsidR="00C45CC4" w:rsidRPr="00B72268" w:rsidRDefault="00C45CC4" w:rsidP="00CA1094">
      <w:pPr>
        <w:spacing w:before="100" w:beforeAutospacing="1" w:after="240" w:line="240" w:lineRule="auto"/>
        <w:jc w:val="both"/>
        <w:rPr>
          <w:rFonts w:ascii="Palatino Linotype" w:hAnsi="Palatino Linotype" w:cs="Times New Roman"/>
          <w:i/>
        </w:rPr>
      </w:pPr>
      <w:r w:rsidRPr="00B72268">
        <w:rPr>
          <w:rFonts w:ascii="Palatino Linotype" w:hAnsi="Palatino Linotype" w:cs="Times New Roman"/>
          <w:i/>
        </w:rPr>
        <w:t>Other factors</w:t>
      </w:r>
    </w:p>
    <w:p w14:paraId="39C4CD73" w14:textId="77777777" w:rsidR="00C45CC4" w:rsidRPr="00B72268" w:rsidRDefault="00C45CC4" w:rsidP="00CA1094">
      <w:pPr>
        <w:spacing w:before="100" w:beforeAutospacing="1" w:after="240" w:line="240" w:lineRule="auto"/>
        <w:ind w:left="720"/>
        <w:jc w:val="both"/>
        <w:rPr>
          <w:rFonts w:ascii="Palatino Linotype" w:hAnsi="Palatino Linotype" w:cs="Times New Roman"/>
        </w:rPr>
      </w:pPr>
      <w:r w:rsidRPr="00B72268">
        <w:rPr>
          <w:rFonts w:ascii="Palatino Linotype" w:hAnsi="Palatino Linotype" w:cs="Times New Roman"/>
        </w:rPr>
        <w:t>Are there other specific features of the case which make it unsuitable for a VC hearing?</w:t>
      </w:r>
    </w:p>
    <w:p w14:paraId="4E0A74FE" w14:textId="77777777" w:rsidR="00C45CC4" w:rsidRPr="00B72268" w:rsidRDefault="00C45CC4" w:rsidP="00CA1094">
      <w:pPr>
        <w:spacing w:before="100" w:beforeAutospacing="1" w:after="240" w:line="240" w:lineRule="auto"/>
        <w:ind w:left="720"/>
        <w:jc w:val="both"/>
        <w:rPr>
          <w:rFonts w:ascii="Palatino Linotype" w:hAnsi="Palatino Linotype" w:cs="Times New Roman"/>
        </w:rPr>
      </w:pPr>
      <w:r w:rsidRPr="00B72268">
        <w:rPr>
          <w:rFonts w:ascii="Palatino Linotype" w:hAnsi="Palatino Linotype" w:cs="Times New Roman"/>
        </w:rPr>
        <w:t>Is a hybrid hearing is feasible, with some evidence being heard in person and the remainder by VC?</w:t>
      </w:r>
    </w:p>
    <w:p w14:paraId="0237014E" w14:textId="77777777" w:rsidR="00C45CC4" w:rsidRPr="00B72268" w:rsidRDefault="00C45CC4" w:rsidP="00CA1094">
      <w:pPr>
        <w:spacing w:before="100" w:beforeAutospacing="1" w:after="240" w:line="240" w:lineRule="auto"/>
        <w:ind w:firstLine="720"/>
        <w:jc w:val="both"/>
        <w:rPr>
          <w:rFonts w:ascii="Palatino Linotype" w:hAnsi="Palatino Linotype" w:cs="Times New Roman"/>
        </w:rPr>
      </w:pPr>
      <w:r w:rsidRPr="00B72268">
        <w:rPr>
          <w:rFonts w:ascii="Palatino Linotype" w:hAnsi="Palatino Linotype" w:cs="Times New Roman"/>
        </w:rPr>
        <w:t>Is there any reason why an urgent determination of the case is desirable?</w:t>
      </w:r>
    </w:p>
    <w:p w14:paraId="1339B653" w14:textId="77777777" w:rsidR="00C45CC4" w:rsidRPr="00B72268" w:rsidRDefault="00C45CC4" w:rsidP="00CA1094">
      <w:pPr>
        <w:spacing w:before="100" w:beforeAutospacing="1" w:after="240" w:line="240" w:lineRule="auto"/>
        <w:ind w:left="720"/>
        <w:jc w:val="both"/>
        <w:rPr>
          <w:rFonts w:ascii="Palatino Linotype" w:hAnsi="Palatino Linotype" w:cs="Times New Roman"/>
        </w:rPr>
      </w:pPr>
      <w:r w:rsidRPr="00B72268">
        <w:rPr>
          <w:rFonts w:ascii="Palatino Linotype" w:hAnsi="Palatino Linotype" w:cs="Times New Roman"/>
        </w:rPr>
        <w:t>Might justice might be better served by the proof being discharged to a date when the court may again be able to accommodate live proofs without constraint?</w:t>
      </w:r>
    </w:p>
    <w:p w14:paraId="28144F58" w14:textId="77777777" w:rsidR="00C45CC4" w:rsidRPr="00B72268" w:rsidRDefault="00C45CC4" w:rsidP="00641DBB">
      <w:pPr>
        <w:spacing w:before="100" w:beforeAutospacing="1" w:after="240" w:line="360" w:lineRule="auto"/>
        <w:jc w:val="both"/>
        <w:rPr>
          <w:rFonts w:ascii="Palatino Linotype" w:hAnsi="Palatino Linotype"/>
        </w:rPr>
      </w:pPr>
    </w:p>
    <w:p w14:paraId="2E34AE7F" w14:textId="77777777" w:rsidR="00E61DD5" w:rsidRDefault="00E61DD5" w:rsidP="00E61DD5">
      <w:pPr>
        <w:spacing w:before="100" w:beforeAutospacing="1" w:after="240" w:line="360" w:lineRule="auto"/>
        <w:jc w:val="both"/>
        <w:rPr>
          <w:rFonts w:ascii="Palatino Linotype" w:hAnsi="Palatino Linotype"/>
        </w:rPr>
      </w:pPr>
    </w:p>
    <w:p w14:paraId="36171B93" w14:textId="77777777" w:rsidR="00E61DD5" w:rsidRDefault="00E61DD5" w:rsidP="00E61DD5">
      <w:pPr>
        <w:spacing w:before="100" w:beforeAutospacing="1" w:after="240" w:line="360" w:lineRule="auto"/>
        <w:jc w:val="both"/>
        <w:rPr>
          <w:rFonts w:ascii="Palatino Linotype" w:hAnsi="Palatino Linotype"/>
        </w:rPr>
      </w:pPr>
    </w:p>
    <w:p w14:paraId="2F899D49" w14:textId="77777777" w:rsidR="00E61DD5" w:rsidRDefault="00E61DD5" w:rsidP="00E61DD5">
      <w:pPr>
        <w:spacing w:before="100" w:beforeAutospacing="1" w:after="240" w:line="360" w:lineRule="auto"/>
        <w:jc w:val="both"/>
        <w:rPr>
          <w:rFonts w:ascii="Palatino Linotype" w:hAnsi="Palatino Linotype"/>
        </w:rPr>
      </w:pPr>
    </w:p>
    <w:p w14:paraId="4D63CCEA" w14:textId="77777777" w:rsidR="00300509" w:rsidRDefault="00300509"/>
    <w:sectPr w:rsidR="0030050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0C192" w14:textId="77777777" w:rsidR="008E1776" w:rsidRDefault="008E1776" w:rsidP="00E61DD5">
      <w:pPr>
        <w:spacing w:after="0" w:line="240" w:lineRule="auto"/>
      </w:pPr>
      <w:r>
        <w:separator/>
      </w:r>
    </w:p>
  </w:endnote>
  <w:endnote w:type="continuationSeparator" w:id="0">
    <w:p w14:paraId="60BF4E5E" w14:textId="77777777" w:rsidR="008E1776" w:rsidRDefault="008E1776" w:rsidP="00E6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83819"/>
      <w:docPartObj>
        <w:docPartGallery w:val="Page Numbers (Bottom of Page)"/>
        <w:docPartUnique/>
      </w:docPartObj>
    </w:sdtPr>
    <w:sdtEndPr>
      <w:rPr>
        <w:noProof/>
      </w:rPr>
    </w:sdtEndPr>
    <w:sdtContent>
      <w:p w14:paraId="5D9A6440" w14:textId="60C49F07" w:rsidR="00FF0440" w:rsidRDefault="00FF0440">
        <w:pPr>
          <w:pStyle w:val="Footer"/>
          <w:jc w:val="center"/>
        </w:pPr>
        <w:r>
          <w:fldChar w:fldCharType="begin"/>
        </w:r>
        <w:r>
          <w:instrText xml:space="preserve"> PAGE   \* MERGEFORMAT </w:instrText>
        </w:r>
        <w:r>
          <w:fldChar w:fldCharType="separate"/>
        </w:r>
        <w:r w:rsidR="00DA2600">
          <w:rPr>
            <w:noProof/>
          </w:rPr>
          <w:t>2</w:t>
        </w:r>
        <w:r>
          <w:rPr>
            <w:noProof/>
          </w:rPr>
          <w:fldChar w:fldCharType="end"/>
        </w:r>
      </w:p>
    </w:sdtContent>
  </w:sdt>
  <w:p w14:paraId="0704E2D7" w14:textId="77777777" w:rsidR="00FF0440" w:rsidRDefault="00FF04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9076" w14:textId="77777777" w:rsidR="008E1776" w:rsidRDefault="008E1776" w:rsidP="00E61DD5">
      <w:pPr>
        <w:spacing w:after="0" w:line="240" w:lineRule="auto"/>
      </w:pPr>
      <w:r>
        <w:separator/>
      </w:r>
    </w:p>
  </w:footnote>
  <w:footnote w:type="continuationSeparator" w:id="0">
    <w:p w14:paraId="7DD82938" w14:textId="77777777" w:rsidR="008E1776" w:rsidRDefault="008E1776" w:rsidP="00E61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509D6"/>
    <w:multiLevelType w:val="hybridMultilevel"/>
    <w:tmpl w:val="7784A1A2"/>
    <w:lvl w:ilvl="0" w:tplc="7EBEC3C4">
      <w:start w:val="1"/>
      <w:numFmt w:val="decimal"/>
      <w:lvlText w:val="[%1]"/>
      <w:lvlJc w:val="left"/>
      <w:pPr>
        <w:ind w:left="502" w:hanging="360"/>
      </w:pPr>
      <w:rPr>
        <w:rFonts w:ascii="Palatino Linotype" w:hAnsi="Palatino Linotype" w:hint="default"/>
        <w:b w:val="0"/>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D5"/>
    <w:rsid w:val="00001936"/>
    <w:rsid w:val="000214B2"/>
    <w:rsid w:val="000820A3"/>
    <w:rsid w:val="000C2AA4"/>
    <w:rsid w:val="001D3305"/>
    <w:rsid w:val="002105A8"/>
    <w:rsid w:val="00300509"/>
    <w:rsid w:val="00355DE1"/>
    <w:rsid w:val="003E0579"/>
    <w:rsid w:val="00425B8D"/>
    <w:rsid w:val="00434043"/>
    <w:rsid w:val="00546EA5"/>
    <w:rsid w:val="00641DBB"/>
    <w:rsid w:val="006915E5"/>
    <w:rsid w:val="008E1776"/>
    <w:rsid w:val="008E636D"/>
    <w:rsid w:val="009D5514"/>
    <w:rsid w:val="00A313BA"/>
    <w:rsid w:val="00AC2581"/>
    <w:rsid w:val="00B5085D"/>
    <w:rsid w:val="00B72268"/>
    <w:rsid w:val="00BC60C2"/>
    <w:rsid w:val="00C45CC4"/>
    <w:rsid w:val="00CA1094"/>
    <w:rsid w:val="00DA2600"/>
    <w:rsid w:val="00E61DD5"/>
    <w:rsid w:val="00EB4C9D"/>
    <w:rsid w:val="00F22D74"/>
    <w:rsid w:val="00F534D9"/>
    <w:rsid w:val="00FD1806"/>
    <w:rsid w:val="00FF0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3D5E"/>
  <w15:chartTrackingRefBased/>
  <w15:docId w15:val="{90AAD399-748F-4DB1-8575-35D2823B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DD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1D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DD5"/>
    <w:rPr>
      <w:sz w:val="20"/>
      <w:szCs w:val="20"/>
    </w:rPr>
  </w:style>
  <w:style w:type="character" w:styleId="FootnoteReference">
    <w:name w:val="footnote reference"/>
    <w:basedOn w:val="DefaultParagraphFont"/>
    <w:uiPriority w:val="99"/>
    <w:semiHidden/>
    <w:unhideWhenUsed/>
    <w:rsid w:val="00E61DD5"/>
    <w:rPr>
      <w:vertAlign w:val="superscript"/>
    </w:rPr>
  </w:style>
  <w:style w:type="table" w:styleId="TableGrid">
    <w:name w:val="Table Grid"/>
    <w:basedOn w:val="TableNormal"/>
    <w:uiPriority w:val="39"/>
    <w:rsid w:val="00E61D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936"/>
    <w:rPr>
      <w:rFonts w:ascii="Segoe UI" w:hAnsi="Segoe UI" w:cs="Segoe UI"/>
      <w:sz w:val="18"/>
      <w:szCs w:val="18"/>
    </w:rPr>
  </w:style>
  <w:style w:type="paragraph" w:styleId="ListParagraph">
    <w:name w:val="List Paragraph"/>
    <w:basedOn w:val="Normal"/>
    <w:uiPriority w:val="34"/>
    <w:qFormat/>
    <w:rsid w:val="000820A3"/>
    <w:pPr>
      <w:ind w:left="720"/>
      <w:contextualSpacing/>
    </w:pPr>
  </w:style>
  <w:style w:type="paragraph" w:styleId="Header">
    <w:name w:val="header"/>
    <w:basedOn w:val="Normal"/>
    <w:link w:val="HeaderChar"/>
    <w:uiPriority w:val="99"/>
    <w:unhideWhenUsed/>
    <w:rsid w:val="00FF0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440"/>
  </w:style>
  <w:style w:type="paragraph" w:styleId="Footer">
    <w:name w:val="footer"/>
    <w:basedOn w:val="Normal"/>
    <w:link w:val="FooterChar"/>
    <w:uiPriority w:val="99"/>
    <w:unhideWhenUsed/>
    <w:rsid w:val="00FF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440"/>
  </w:style>
  <w:style w:type="character" w:styleId="Strong">
    <w:name w:val="Strong"/>
    <w:basedOn w:val="DefaultParagraphFont"/>
    <w:uiPriority w:val="22"/>
    <w:qFormat/>
    <w:rsid w:val="00641DBB"/>
    <w:rPr>
      <w:b/>
      <w:bCs/>
    </w:rPr>
  </w:style>
  <w:style w:type="character" w:styleId="CommentReference">
    <w:name w:val="annotation reference"/>
    <w:basedOn w:val="DefaultParagraphFont"/>
    <w:uiPriority w:val="99"/>
    <w:semiHidden/>
    <w:unhideWhenUsed/>
    <w:rsid w:val="00BC60C2"/>
    <w:rPr>
      <w:sz w:val="16"/>
      <w:szCs w:val="16"/>
    </w:rPr>
  </w:style>
  <w:style w:type="paragraph" w:styleId="CommentText">
    <w:name w:val="annotation text"/>
    <w:basedOn w:val="Normal"/>
    <w:link w:val="CommentTextChar"/>
    <w:uiPriority w:val="99"/>
    <w:semiHidden/>
    <w:unhideWhenUsed/>
    <w:rsid w:val="00BC60C2"/>
    <w:pPr>
      <w:spacing w:line="240" w:lineRule="auto"/>
    </w:pPr>
    <w:rPr>
      <w:sz w:val="20"/>
      <w:szCs w:val="20"/>
    </w:rPr>
  </w:style>
  <w:style w:type="character" w:customStyle="1" w:styleId="CommentTextChar">
    <w:name w:val="Comment Text Char"/>
    <w:basedOn w:val="DefaultParagraphFont"/>
    <w:link w:val="CommentText"/>
    <w:uiPriority w:val="99"/>
    <w:semiHidden/>
    <w:rsid w:val="00BC60C2"/>
    <w:rPr>
      <w:sz w:val="20"/>
      <w:szCs w:val="20"/>
    </w:rPr>
  </w:style>
  <w:style w:type="paragraph" w:styleId="CommentSubject">
    <w:name w:val="annotation subject"/>
    <w:basedOn w:val="CommentText"/>
    <w:next w:val="CommentText"/>
    <w:link w:val="CommentSubjectChar"/>
    <w:uiPriority w:val="99"/>
    <w:semiHidden/>
    <w:unhideWhenUsed/>
    <w:rsid w:val="00BC60C2"/>
    <w:rPr>
      <w:b/>
      <w:bCs/>
    </w:rPr>
  </w:style>
  <w:style w:type="character" w:customStyle="1" w:styleId="CommentSubjectChar">
    <w:name w:val="Comment Subject Char"/>
    <w:basedOn w:val="CommentTextChar"/>
    <w:link w:val="CommentSubject"/>
    <w:uiPriority w:val="99"/>
    <w:semiHidden/>
    <w:rsid w:val="00BC60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Sheriff McGowan K.</dc:creator>
  <cp:keywords/>
  <dc:description/>
  <cp:lastModifiedBy>Gavin Herd</cp:lastModifiedBy>
  <cp:revision>2</cp:revision>
  <dcterms:created xsi:type="dcterms:W3CDTF">2020-08-31T15:56:00Z</dcterms:created>
  <dcterms:modified xsi:type="dcterms:W3CDTF">2020-08-31T15:56:00Z</dcterms:modified>
</cp:coreProperties>
</file>